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机密★启用前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sz w:val="28"/>
          <w:szCs w:val="28"/>
        </w:rPr>
      </w:pPr>
      <w:r>
        <w:rPr>
          <w:rFonts w:hint="default"/>
          <w:sz w:val="28"/>
          <w:szCs w:val="28"/>
        </w:rPr>
        <w:t>四川省2017年1月高等教育自学考试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黑体" w:hAnsi="黑体" w:eastAsia="黑体" w:cs="黑体"/>
          <w:sz w:val="32"/>
          <w:szCs w:val="32"/>
        </w:rPr>
      </w:pPr>
      <w:bookmarkStart w:id="0" w:name="_GoBack"/>
      <w:r>
        <w:rPr>
          <w:rFonts w:hint="default" w:ascii="黑体" w:hAnsi="黑体" w:eastAsia="黑体" w:cs="黑体"/>
          <w:sz w:val="32"/>
          <w:szCs w:val="32"/>
        </w:rPr>
        <w:t>园林工程学</w:t>
      </w:r>
      <w:bookmarkEnd w:id="0"/>
      <w:r>
        <w:rPr>
          <w:rFonts w:hint="default" w:ascii="黑体" w:hAnsi="黑体" w:eastAsia="黑体" w:cs="黑体"/>
          <w:sz w:val="32"/>
          <w:szCs w:val="32"/>
        </w:rPr>
        <w:t xml:space="preserve">  试卷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(课程代码</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07435)</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本试卷分为两部分，满分100分，考试时间150分钟。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第一部分为选择题，1页至3页，共3页。应考者必须按试题顺序在“答题卡”上按要求填涂，答在试卷上无效。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第二部分为非选择题，3页至4页，共2页。应考者必须按试题顺序在“答题卡”上作答，答在试卷上无效。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第一部分</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选择题（共20分）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一、单项选择题（本大题共20小题，每小题1分，共20分）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在每小题列出的四个备选项中只有一个是符合题目要求的，请将其选出并将“答题卡”的相应代码涂黑。错涂、多涂或未涂均无分。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1．园林工程是在最大限度地发挥园林综合功能的前提下，研究解决什么之间的矛盾？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A．山体形态与水景    B．生态与经济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C．园林设施与景观    D．建筑与绿化</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2．园林竖向设计的任务是统筹安排园内各种景点、设施和地貌景观之间的关系，使地上设施和地下设施之间、山水之间、园内与园外．之间在什么上有合理的关系？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A．坡度    B．坡向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C．高程    D．空间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3．当给水管道流量不变时，管径越大，水头损失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A．越小    B．越大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C．不变    D．消失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4. l.5kg/cm</w:t>
      </w:r>
      <w:r>
        <w:rPr>
          <w:rFonts w:hint="default" w:ascii="Times New Roman" w:hAnsi="Times New Roman" w:cs="Times New Roman"/>
          <w:sz w:val="24"/>
          <w:szCs w:val="24"/>
          <w:vertAlign w:val="superscript"/>
        </w:rPr>
        <w:t>2</w:t>
      </w:r>
      <w:r>
        <w:rPr>
          <w:rFonts w:hint="default" w:ascii="Times New Roman" w:hAnsi="Times New Roman" w:cs="Times New Roman"/>
          <w:sz w:val="24"/>
          <w:szCs w:val="24"/>
          <w:vertAlign w:val="baseli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A．1.5 H</w:t>
      </w:r>
      <w:r>
        <w:rPr>
          <w:rFonts w:hint="default" w:ascii="Times New Roman" w:hAnsi="Times New Roman" w:cs="Times New Roman"/>
          <w:sz w:val="24"/>
          <w:szCs w:val="24"/>
          <w:vertAlign w:val="subscript"/>
        </w:rPr>
        <w:t>2</w:t>
      </w:r>
      <w:r>
        <w:rPr>
          <w:rFonts w:hint="eastAsia" w:ascii="Times New Roman" w:hAnsi="Times New Roman" w:cs="Times New Roman"/>
          <w:sz w:val="24"/>
          <w:szCs w:val="24"/>
          <w:lang w:val="en-US" w:eastAsia="zh-CN"/>
        </w:rPr>
        <w:t>O</w:t>
      </w:r>
      <w:r>
        <w:rPr>
          <w:rFonts w:hint="default" w:ascii="Times New Roman" w:hAnsi="Times New Roman" w:cs="Times New Roman"/>
          <w:sz w:val="24"/>
          <w:szCs w:val="24"/>
        </w:rPr>
        <w:t xml:space="preserve">    B．3 H</w:t>
      </w:r>
      <w:r>
        <w:rPr>
          <w:rFonts w:hint="default" w:ascii="Times New Roman" w:hAnsi="Times New Roman" w:cs="Times New Roman"/>
          <w:sz w:val="24"/>
          <w:szCs w:val="24"/>
          <w:vertAlign w:val="subscript"/>
        </w:rPr>
        <w:t>2</w:t>
      </w:r>
      <w:r>
        <w:rPr>
          <w:rFonts w:hint="eastAsia" w:ascii="Times New Roman" w:hAnsi="Times New Roman" w:cs="Times New Roman"/>
          <w:sz w:val="24"/>
          <w:szCs w:val="24"/>
          <w:lang w:val="en-US" w:eastAsia="zh-CN"/>
        </w:rPr>
        <w:t>O</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C．15 H</w:t>
      </w:r>
      <w:r>
        <w:rPr>
          <w:rFonts w:hint="default" w:ascii="Times New Roman" w:hAnsi="Times New Roman" w:cs="Times New Roman"/>
          <w:sz w:val="24"/>
          <w:szCs w:val="24"/>
          <w:vertAlign w:val="subscript"/>
        </w:rPr>
        <w:t>2</w:t>
      </w:r>
      <w:r>
        <w:rPr>
          <w:rFonts w:hint="eastAsia" w:ascii="Times New Roman" w:hAnsi="Times New Roman" w:cs="Times New Roman"/>
          <w:sz w:val="24"/>
          <w:szCs w:val="24"/>
          <w:lang w:val="en-US" w:eastAsia="zh-CN"/>
        </w:rPr>
        <w:t>O</w:t>
      </w:r>
      <w:r>
        <w:rPr>
          <w:rFonts w:hint="default" w:ascii="Times New Roman" w:hAnsi="Times New Roman" w:cs="Times New Roman"/>
          <w:sz w:val="24"/>
          <w:szCs w:val="24"/>
        </w:rPr>
        <w:t xml:space="preserve">    D．30 H</w:t>
      </w:r>
      <w:r>
        <w:rPr>
          <w:rFonts w:hint="default" w:ascii="Times New Roman" w:hAnsi="Times New Roman" w:cs="Times New Roman"/>
          <w:sz w:val="24"/>
          <w:szCs w:val="24"/>
          <w:vertAlign w:val="subscript"/>
        </w:rPr>
        <w:t>2</w:t>
      </w:r>
      <w:r>
        <w:rPr>
          <w:rFonts w:hint="eastAsia" w:ascii="Times New Roman" w:hAnsi="Times New Roman" w:cs="Times New Roman"/>
          <w:sz w:val="24"/>
          <w:szCs w:val="24"/>
          <w:lang w:val="en-US" w:eastAsia="zh-CN"/>
        </w:rPr>
        <w:t>O</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5．排水管渠的排水能力大小，主要取决于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A．水力坡降和过水断面</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B．排水材料和地形地势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C．降雨强度和汇水面积</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D．径流系数与地表性质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6．下列水景中，属于落水形式水景的是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A．涌泉</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B．喷泉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C．间歇泉</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D．跌水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7．喷泉总扬程</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A．净扬程+损失扬程</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B．吸水高度+压水高度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C．水头损失+喷水高度</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D．吸水高度+喷水高度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8．下列园林铺地材料中，属于块状材料的是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A．卵石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B．砾石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C．青砖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D．瓦片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9．成都市某公园建设80个停车位的停车场，已知单位停车面积20rr12，需规划停车场面积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A．800m</w:t>
      </w:r>
      <w:r>
        <w:rPr>
          <w:rFonts w:hint="default" w:ascii="Times New Roman" w:hAnsi="Times New Roman" w:cs="Times New Roman"/>
          <w:sz w:val="24"/>
          <w:szCs w:val="24"/>
          <w:vertAlign w:val="superscript"/>
        </w:rPr>
        <w:t>2</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B．l600m</w:t>
      </w:r>
      <w:r>
        <w:rPr>
          <w:rFonts w:hint="default" w:ascii="Times New Roman" w:hAnsi="Times New Roman" w:cs="Times New Roman"/>
          <w:sz w:val="24"/>
          <w:szCs w:val="24"/>
          <w:vertAlign w:val="superscript"/>
        </w:rPr>
        <w:t>2</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C．2400m</w:t>
      </w:r>
      <w:r>
        <w:rPr>
          <w:rFonts w:hint="default" w:ascii="Times New Roman" w:hAnsi="Times New Roman" w:cs="Times New Roman"/>
          <w:sz w:val="24"/>
          <w:szCs w:val="24"/>
          <w:vertAlign w:val="superscript"/>
        </w:rPr>
        <w:t>2</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D．3200m</w:t>
      </w:r>
      <w:r>
        <w:rPr>
          <w:rFonts w:hint="default" w:ascii="Times New Roman" w:hAnsi="Times New Roman" w:cs="Times New Roman"/>
          <w:sz w:val="24"/>
          <w:szCs w:val="24"/>
          <w:vertAlign w:val="superscript"/>
        </w:rPr>
        <w:t>2</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10.假山结体中，山石水平方向衔接叫</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A．安    B．连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C．接    D．拼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11.在古典园林建筑墙面的基础种植部位，用山石处理的作法叫</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A．山石踏跺    B．镶隅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C．粉壁理石    D．云梯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12．树木移植失败的主要原因是植株地上部分与地下部分失去什么而导致的？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A．水分输送    B．营养物质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C．输送通道    D．生理平衡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13.下列选项中，种植工程的施工程序正确的是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rPr>
        <w:t>定点放线→整地和土壤处理→挖种植穴（槽）→种植→筑堰浇水→立支架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B.整地和土壤处理→定点放线→挖种植穴（槽）→种植→筑堰浇水→立支架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C.整地和土壤处理→定点放线→挖种植穴（槽）→筑堰浇水→种植→立支架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D.定点放线→整地和土壤处理→挖种植穴（槽）→筑堰浇水→种植→</w:t>
      </w:r>
      <w:r>
        <w:rPr>
          <w:rFonts w:hint="eastAsia" w:ascii="Times New Roman" w:hAnsi="Times New Roman" w:cs="Times New Roman"/>
          <w:sz w:val="24"/>
          <w:szCs w:val="24"/>
          <w:lang w:eastAsia="zh-CN"/>
        </w:rPr>
        <w:t>立</w:t>
      </w:r>
      <w:r>
        <w:rPr>
          <w:rFonts w:hint="default" w:ascii="Times New Roman" w:hAnsi="Times New Roman" w:cs="Times New Roman"/>
          <w:sz w:val="24"/>
          <w:szCs w:val="24"/>
        </w:rPr>
        <w:t>支架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14．乔灌木栽植时，起苗时间最好安排在苗木的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A.生长初期    B.快速生长期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C.生长末期    D.休眠期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15.树穴栽植后，为保障树木成活，应在树穴周围用土筑l0-15cm的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A．排水沟    B．蓄水池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C．浇水堰    D．积水坑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16.边坡植物绿化防护措施主要涉及施工工艺和施工材料，而影响施工材料选择的主要因素是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A．自然条件    B．边坡条件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C．资金投入    D．管理水平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17.下列选项中，屋顶绿化防风措施正确的是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A．地上支撑法与绳索固定法    B．地上支撑法与地下固定法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C．绳索固定法与地下固定法    D．地上支撑法与重物固定法</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18.照明光源中被称为第四代光源的是</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A．白炽灯    B．光源荧光灯</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C．LED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D．气体放电灯</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19.绿地景观照明中，产生眩光的条件是被视物体与背景亮度对比超过</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A．1：10    B．1：100</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C．1：500    D．1：1000</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20.公园绿地道路照明一般采用</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A．草坪灯</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B．埋地灯</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C．庭院灯</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D．装饰灯</w:t>
      </w:r>
    </w:p>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第二部分</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非选择题（共80分）</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二、名词解释题（本大题共4小题，每小题3分，共12分）</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21.坡度</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22.行车视距</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23.散置</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24.草坪</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三、判断题（本大题共7小题，每小题1分，共7分）</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判断下列各题的正误，在“答题卡”的试题序号后，正确的划上“√”；错误的划上“×”。</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25.场地平整土方量计算的方法有方格网法和等高面法。</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26.堆叠假山外观上注意整体性，结构上注意稳定性。</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27.夏天温度高，树木生长旺盛，不能移植大树。</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28.屋顶绿化不需要铺设过滤层。</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29.绿色照明光源有光纤灯和LED。</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30.放射式供电线路投资小，但发生故障时，影响停电的范围较大。</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31.水下照明灯具的保护等级(IP)不能低于68。</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四、简答题（本大题共6小题，每小题6分，共36分）</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32.简述土方量计算方法，并说明其适用范围。</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33.简述土方工程施工的准备工作。</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34.简述囡路的基本功能。</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35.简述园林铺地中路面设计的要求。</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36.简述假山的功能作用。</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37.简述草坪的养护管理工作内容。</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五、计算题（本大题1小题共10分）</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38.某公园餐厅（2层）需用水7.2m</w:t>
      </w:r>
      <w:r>
        <w:rPr>
          <w:rFonts w:hint="default" w:ascii="Times New Roman" w:hAnsi="Times New Roman" w:cs="Times New Roman"/>
          <w:sz w:val="24"/>
          <w:szCs w:val="24"/>
          <w:vertAlign w:val="superscript"/>
        </w:rPr>
        <w:t>3</w:t>
      </w:r>
      <w:r>
        <w:rPr>
          <w:rFonts w:hint="eastAsia" w:ascii="Times New Roman" w:hAnsi="Times New Roman" w:cs="Times New Roman"/>
          <w:sz w:val="24"/>
          <w:szCs w:val="24"/>
          <w:lang w:val="en-US" w:eastAsia="zh-CN"/>
        </w:rPr>
        <w:t>/h</w:t>
      </w:r>
      <w:r>
        <w:rPr>
          <w:rFonts w:hint="default" w:ascii="Times New Roman" w:hAnsi="Times New Roman" w:cs="Times New Roman"/>
          <w:sz w:val="24"/>
          <w:szCs w:val="24"/>
        </w:rPr>
        <w:t>．计划用长200m、管径40的给水管段从A点(高程310.00)向餐厅（高程315.00）输水，其中A点自由水头30mH</w:t>
      </w:r>
      <w:r>
        <w:rPr>
          <w:rFonts w:hint="default" w:ascii="Times New Roman" w:hAnsi="Times New Roman" w:cs="Times New Roman"/>
          <w:sz w:val="24"/>
          <w:szCs w:val="24"/>
          <w:vertAlign w:val="subscript"/>
        </w:rPr>
        <w:t>2</w:t>
      </w:r>
      <w:r>
        <w:rPr>
          <w:rFonts w:hint="eastAsia" w:ascii="Times New Roman" w:hAnsi="Times New Roman" w:cs="Times New Roman"/>
          <w:sz w:val="24"/>
          <w:szCs w:val="24"/>
          <w:lang w:val="en-US" w:eastAsia="zh-CN"/>
        </w:rPr>
        <w:t>O</w:t>
      </w:r>
      <w:r>
        <w:rPr>
          <w:rFonts w:hint="default" w:ascii="Times New Roman" w:hAnsi="Times New Roman" w:cs="Times New Roman"/>
          <w:sz w:val="24"/>
          <w:szCs w:val="24"/>
        </w:rPr>
        <w:t>，计算该给水管到达餐厅时的自由水头。（局部水头损失按沿程水头损失的25%计算，l</w:t>
      </w:r>
      <w:r>
        <w:rPr>
          <w:rFonts w:hint="eastAsia" w:ascii="Times New Roman" w:hAnsi="Times New Roman" w:cs="Times New Roman"/>
          <w:sz w:val="24"/>
          <w:szCs w:val="24"/>
          <w:lang w:val="en-US" w:eastAsia="zh-CN"/>
        </w:rPr>
        <w:t>000</w:t>
      </w:r>
      <w:r>
        <w:rPr>
          <w:rFonts w:hint="default" w:ascii="Times New Roman" w:hAnsi="Times New Roman" w:cs="Times New Roman"/>
          <w:sz w:val="24"/>
          <w:szCs w:val="24"/>
        </w:rPr>
        <w:t>i=36.09 mH</w:t>
      </w:r>
      <w:r>
        <w:rPr>
          <w:rFonts w:hint="default" w:ascii="Times New Roman" w:hAnsi="Times New Roman" w:cs="Times New Roman"/>
          <w:sz w:val="24"/>
          <w:szCs w:val="24"/>
          <w:vertAlign w:val="subscript"/>
        </w:rPr>
        <w:t>2</w:t>
      </w:r>
      <w:r>
        <w:rPr>
          <w:rFonts w:hint="eastAsia" w:ascii="Times New Roman" w:hAnsi="Times New Roman" w:cs="Times New Roman"/>
          <w:sz w:val="24"/>
          <w:szCs w:val="24"/>
          <w:lang w:val="en-US" w:eastAsia="zh-CN"/>
        </w:rPr>
        <w:t>O</w:t>
      </w:r>
      <w:r>
        <w:rPr>
          <w:rFonts w:hint="default"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六、论述题（本大题1小题共15分）</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39.阐述公园水景设计的主要影响因素，并说明水景设计的主要内容。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方正大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MS Mincho">
    <w:panose1 w:val="020206090402050803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BC0070"/>
    <w:rsid w:val="42BC007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2017-09-14T07:44:00Z</dcterms:created>
  <dc:creator>Administrator</dc:creator>
  <cp:lastModifiedBy>Administrator</cp:lastModifiedBy>
  <dcterms:modified xsi:type="dcterms:W3CDTF">2017-09-14T07:54:55Z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